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1C" w:rsidRPr="00580D6C" w:rsidRDefault="00916F1C" w:rsidP="00DD692D">
      <w:pPr>
        <w:spacing w:after="174" w:line="259" w:lineRule="auto"/>
        <w:ind w:right="9"/>
        <w:rPr>
          <w:b/>
          <w:color w:val="auto"/>
        </w:rPr>
      </w:pPr>
    </w:p>
    <w:p w:rsidR="00554C19" w:rsidRPr="00580D6C" w:rsidRDefault="002978C3">
      <w:pPr>
        <w:spacing w:after="384" w:line="381" w:lineRule="auto"/>
        <w:ind w:left="-5" w:right="0"/>
        <w:rPr>
          <w:color w:val="auto"/>
        </w:rPr>
      </w:pPr>
      <w:bookmarkStart w:id="0" w:name="_GoBack"/>
      <w:bookmarkEnd w:id="0"/>
      <w:r w:rsidRPr="00580D6C">
        <w:rPr>
          <w:b/>
          <w:color w:val="auto"/>
        </w:rPr>
        <w:t xml:space="preserve">Komitet wyborczy wyborców zamierzający zgłosić kandydatów na radnych o swoim utworzeniu zawiadamia </w:t>
      </w:r>
      <w:r w:rsidR="00BE03A9" w:rsidRPr="00580D6C">
        <w:rPr>
          <w:b/>
          <w:color w:val="auto"/>
        </w:rPr>
        <w:t>K</w:t>
      </w:r>
      <w:r w:rsidRPr="00580D6C">
        <w:rPr>
          <w:b/>
          <w:color w:val="auto"/>
        </w:rPr>
        <w:t xml:space="preserve">omisarza </w:t>
      </w:r>
      <w:r w:rsidR="00BE03A9" w:rsidRPr="00580D6C">
        <w:rPr>
          <w:b/>
          <w:color w:val="auto"/>
        </w:rPr>
        <w:t>W</w:t>
      </w:r>
      <w:r w:rsidRPr="00580D6C">
        <w:rPr>
          <w:b/>
          <w:color w:val="auto"/>
        </w:rPr>
        <w:t>yborczego</w:t>
      </w:r>
      <w:r w:rsidR="00BE03A9" w:rsidRPr="00580D6C">
        <w:rPr>
          <w:b/>
          <w:color w:val="auto"/>
        </w:rPr>
        <w:t xml:space="preserve"> w Białymstoku I.</w:t>
      </w:r>
    </w:p>
    <w:p w:rsidR="00554C19" w:rsidRPr="00580D6C" w:rsidRDefault="002978C3">
      <w:pPr>
        <w:numPr>
          <w:ilvl w:val="0"/>
          <w:numId w:val="1"/>
        </w:numPr>
        <w:ind w:right="0" w:hanging="336"/>
        <w:rPr>
          <w:color w:val="auto"/>
        </w:rPr>
      </w:pPr>
      <w:r w:rsidRPr="00580D6C">
        <w:rPr>
          <w:color w:val="auto"/>
        </w:rPr>
        <w:t xml:space="preserve">Obywatele, w liczbie co najmniej 5, mający prawo wybierania, mogą utworzyć komitet wyborczy wyborców, składając pisemne oświadczenie o utworzeniu komitetu z podaniem swoich imion i nazwisk, adresów zamieszkania oraz numerów </w:t>
      </w:r>
      <w:proofErr w:type="gramStart"/>
      <w:r w:rsidRPr="00580D6C">
        <w:rPr>
          <w:color w:val="auto"/>
        </w:rPr>
        <w:t xml:space="preserve">PESEL  </w:t>
      </w:r>
      <w:r w:rsidRPr="00580D6C">
        <w:rPr>
          <w:b/>
          <w:i/>
          <w:color w:val="auto"/>
        </w:rPr>
        <w:t>Uwaga</w:t>
      </w:r>
      <w:proofErr w:type="gramEnd"/>
      <w:r w:rsidRPr="00580D6C">
        <w:rPr>
          <w:b/>
          <w:i/>
          <w:color w:val="auto"/>
        </w:rPr>
        <w:t xml:space="preserve">! </w:t>
      </w:r>
    </w:p>
    <w:p w:rsidR="00554C19" w:rsidRPr="00580D6C" w:rsidRDefault="002978C3">
      <w:pPr>
        <w:spacing w:after="14" w:line="387" w:lineRule="auto"/>
        <w:ind w:left="577" w:right="0"/>
        <w:rPr>
          <w:color w:val="auto"/>
        </w:rPr>
      </w:pPr>
      <w:r w:rsidRPr="00580D6C">
        <w:rPr>
          <w:i/>
          <w:color w:val="auto"/>
        </w:rPr>
        <w:t xml:space="preserve">Z treści przepisów Kodeksu wyborczego nie wynika, by obywatele tworzący komitet wyborczy wyborców musieli stale zamieszkiwać w gminie, w której komitet zamierza zgłaszać kandydatów. </w:t>
      </w:r>
    </w:p>
    <w:p w:rsidR="00554C19" w:rsidRPr="00580D6C" w:rsidRDefault="002978C3">
      <w:pPr>
        <w:spacing w:after="14" w:line="387" w:lineRule="auto"/>
        <w:ind w:left="577" w:right="0"/>
        <w:rPr>
          <w:color w:val="auto"/>
        </w:rPr>
      </w:pPr>
      <w:r w:rsidRPr="00580D6C">
        <w:rPr>
          <w:i/>
          <w:color w:val="auto"/>
        </w:rPr>
        <w:t xml:space="preserve">Komitet wyborczy wyborców </w:t>
      </w:r>
      <w:r w:rsidRPr="00580D6C">
        <w:rPr>
          <w:i/>
          <w:color w:val="auto"/>
          <w:u w:val="single" w:color="000000"/>
        </w:rPr>
        <w:t>nie</w:t>
      </w:r>
      <w:r w:rsidR="009D104C">
        <w:rPr>
          <w:i/>
          <w:color w:val="auto"/>
          <w:u w:val="single" w:color="000000"/>
        </w:rPr>
        <w:t xml:space="preserve"> </w:t>
      </w:r>
      <w:r w:rsidRPr="00580D6C">
        <w:rPr>
          <w:i/>
          <w:color w:val="auto"/>
          <w:u w:val="single" w:color="000000"/>
        </w:rPr>
        <w:t>musi</w:t>
      </w:r>
      <w:r w:rsidRPr="00580D6C">
        <w:rPr>
          <w:i/>
          <w:color w:val="auto"/>
        </w:rPr>
        <w:t xml:space="preserve"> zbierać podpisów obywateli popierających utworzenie takiego komitetu. </w:t>
      </w:r>
    </w:p>
    <w:p w:rsidR="00916F1C" w:rsidRPr="00580D6C" w:rsidRDefault="002978C3">
      <w:pPr>
        <w:numPr>
          <w:ilvl w:val="0"/>
          <w:numId w:val="1"/>
        </w:numPr>
        <w:spacing w:after="0" w:line="381" w:lineRule="auto"/>
        <w:ind w:right="0" w:hanging="336"/>
        <w:rPr>
          <w:color w:val="auto"/>
        </w:rPr>
      </w:pPr>
      <w:r w:rsidRPr="00580D6C">
        <w:rPr>
          <w:color w:val="auto"/>
        </w:rPr>
        <w:t xml:space="preserve">Komitet wyborczy powołuje </w:t>
      </w:r>
      <w:r w:rsidRPr="00580D6C">
        <w:rPr>
          <w:b/>
          <w:color w:val="auto"/>
        </w:rPr>
        <w:t>pełnomocnika wyborczego, który jest jednocześnie pełnomocnikiem finansowym</w:t>
      </w:r>
      <w:r w:rsidRPr="00580D6C">
        <w:rPr>
          <w:color w:val="auto"/>
        </w:rPr>
        <w:t xml:space="preserve">. </w:t>
      </w:r>
    </w:p>
    <w:p w:rsidR="00554C19" w:rsidRPr="00580D6C" w:rsidRDefault="002978C3" w:rsidP="00916F1C">
      <w:pPr>
        <w:spacing w:after="0" w:line="381" w:lineRule="auto"/>
        <w:ind w:left="567" w:right="0" w:firstLine="0"/>
        <w:rPr>
          <w:color w:val="auto"/>
        </w:rPr>
      </w:pPr>
      <w:r w:rsidRPr="00580D6C">
        <w:rPr>
          <w:b/>
          <w:i/>
          <w:color w:val="auto"/>
        </w:rPr>
        <w:t xml:space="preserve">Uwaga! </w:t>
      </w:r>
    </w:p>
    <w:p w:rsidR="00554C19" w:rsidRPr="00580D6C" w:rsidRDefault="002978C3">
      <w:pPr>
        <w:spacing w:after="14" w:line="387" w:lineRule="auto"/>
        <w:ind w:left="577" w:right="0"/>
        <w:rPr>
          <w:color w:val="auto"/>
        </w:rPr>
      </w:pPr>
      <w:r w:rsidRPr="00580D6C">
        <w:rPr>
          <w:i/>
          <w:color w:val="auto"/>
        </w:rPr>
        <w:t xml:space="preserve">Pełnomocnik wyborczy komitetu wyborczego wyborców zamierzającego zgłaszać kandydata tylko w jednej gminie do 20 000 nie może być: </w:t>
      </w:r>
    </w:p>
    <w:p w:rsidR="00554C19" w:rsidRPr="00580D6C" w:rsidRDefault="002978C3">
      <w:pPr>
        <w:numPr>
          <w:ilvl w:val="1"/>
          <w:numId w:val="2"/>
        </w:numPr>
        <w:spacing w:after="147" w:line="259" w:lineRule="auto"/>
        <w:ind w:right="0" w:hanging="360"/>
        <w:rPr>
          <w:color w:val="auto"/>
        </w:rPr>
      </w:pPr>
      <w:r w:rsidRPr="00580D6C">
        <w:rPr>
          <w:i/>
          <w:color w:val="auto"/>
        </w:rPr>
        <w:t xml:space="preserve">kandydatem w wyborach; </w:t>
      </w:r>
    </w:p>
    <w:p w:rsidR="00554C19" w:rsidRPr="00580D6C" w:rsidRDefault="002978C3">
      <w:pPr>
        <w:numPr>
          <w:ilvl w:val="1"/>
          <w:numId w:val="2"/>
        </w:numPr>
        <w:spacing w:after="176" w:line="259" w:lineRule="auto"/>
        <w:ind w:right="0" w:hanging="360"/>
        <w:rPr>
          <w:color w:val="auto"/>
        </w:rPr>
      </w:pPr>
      <w:r w:rsidRPr="00580D6C">
        <w:rPr>
          <w:i/>
          <w:color w:val="auto"/>
        </w:rPr>
        <w:t xml:space="preserve">pełnomocnikiem wyborczym innego komitetu wyborczego; </w:t>
      </w:r>
    </w:p>
    <w:p w:rsidR="00554C19" w:rsidRPr="00580D6C" w:rsidRDefault="002978C3">
      <w:pPr>
        <w:numPr>
          <w:ilvl w:val="1"/>
          <w:numId w:val="2"/>
        </w:numPr>
        <w:spacing w:after="149" w:line="259" w:lineRule="auto"/>
        <w:ind w:right="0" w:hanging="360"/>
        <w:rPr>
          <w:color w:val="auto"/>
        </w:rPr>
      </w:pPr>
      <w:r w:rsidRPr="00580D6C">
        <w:rPr>
          <w:i/>
          <w:color w:val="auto"/>
        </w:rPr>
        <w:t xml:space="preserve">pełnomocnikiem finansowym innego komitetu wyborczego; </w:t>
      </w:r>
    </w:p>
    <w:p w:rsidR="00554C19" w:rsidRPr="00580D6C" w:rsidRDefault="002978C3">
      <w:pPr>
        <w:numPr>
          <w:ilvl w:val="1"/>
          <w:numId w:val="2"/>
        </w:numPr>
        <w:spacing w:after="125" w:line="259" w:lineRule="auto"/>
        <w:ind w:right="0" w:hanging="360"/>
        <w:rPr>
          <w:color w:val="auto"/>
        </w:rPr>
      </w:pPr>
      <w:r w:rsidRPr="00580D6C">
        <w:rPr>
          <w:i/>
          <w:color w:val="auto"/>
        </w:rPr>
        <w:t xml:space="preserve">funkcjonariuszem publicznym w rozumieniu art. 115 § 13 Kodeksu Karnego. </w:t>
      </w:r>
    </w:p>
    <w:p w:rsidR="00554C19" w:rsidRPr="00580D6C" w:rsidRDefault="002978C3">
      <w:pPr>
        <w:spacing w:after="128" w:line="259" w:lineRule="auto"/>
        <w:ind w:left="922" w:right="0"/>
        <w:rPr>
          <w:color w:val="auto"/>
        </w:rPr>
      </w:pPr>
      <w:r w:rsidRPr="00580D6C">
        <w:rPr>
          <w:i/>
          <w:color w:val="auto"/>
        </w:rPr>
        <w:t xml:space="preserve">Zgodnie z tym przepisem funkcjonariuszem publicznym jest: </w:t>
      </w:r>
    </w:p>
    <w:p w:rsidR="00554C19" w:rsidRPr="00580D6C" w:rsidRDefault="002978C3">
      <w:pPr>
        <w:numPr>
          <w:ilvl w:val="1"/>
          <w:numId w:val="3"/>
        </w:numPr>
        <w:spacing w:after="172" w:line="259" w:lineRule="auto"/>
        <w:ind w:right="0" w:hanging="360"/>
        <w:rPr>
          <w:color w:val="auto"/>
        </w:rPr>
      </w:pPr>
      <w:r w:rsidRPr="00580D6C">
        <w:rPr>
          <w:i/>
          <w:color w:val="auto"/>
        </w:rPr>
        <w:t xml:space="preserve">Prezydent Rzeczypospolitej Polskiej; </w:t>
      </w:r>
    </w:p>
    <w:p w:rsidR="00554C19" w:rsidRPr="00580D6C" w:rsidRDefault="002978C3">
      <w:pPr>
        <w:numPr>
          <w:ilvl w:val="1"/>
          <w:numId w:val="3"/>
        </w:numPr>
        <w:spacing w:after="173" w:line="259" w:lineRule="auto"/>
        <w:ind w:right="0" w:hanging="360"/>
        <w:rPr>
          <w:color w:val="auto"/>
        </w:rPr>
      </w:pPr>
      <w:r w:rsidRPr="00580D6C">
        <w:rPr>
          <w:i/>
          <w:color w:val="auto"/>
        </w:rPr>
        <w:t xml:space="preserve">poseł, senator, radny; </w:t>
      </w:r>
    </w:p>
    <w:p w:rsidR="00554C19" w:rsidRPr="00580D6C" w:rsidRDefault="002978C3">
      <w:pPr>
        <w:numPr>
          <w:ilvl w:val="1"/>
          <w:numId w:val="3"/>
        </w:numPr>
        <w:spacing w:after="177" w:line="259" w:lineRule="auto"/>
        <w:ind w:right="0" w:hanging="360"/>
        <w:rPr>
          <w:color w:val="auto"/>
        </w:rPr>
      </w:pPr>
      <w:r w:rsidRPr="00580D6C">
        <w:rPr>
          <w:i/>
          <w:color w:val="auto"/>
        </w:rPr>
        <w:t xml:space="preserve">poseł do Parlamentu Europejskiego; </w:t>
      </w:r>
    </w:p>
    <w:p w:rsidR="00554C19" w:rsidRPr="00580D6C" w:rsidRDefault="002978C3">
      <w:pPr>
        <w:numPr>
          <w:ilvl w:val="1"/>
          <w:numId w:val="3"/>
        </w:numPr>
        <w:spacing w:after="14" w:line="387" w:lineRule="auto"/>
        <w:ind w:right="0" w:hanging="360"/>
        <w:rPr>
          <w:color w:val="auto"/>
        </w:rPr>
      </w:pPr>
      <w:r w:rsidRPr="00580D6C">
        <w:rPr>
          <w:i/>
          <w:color w:val="auto"/>
        </w:rPr>
        <w:t xml:space="preserve">sędzia, ławnik, prokurator, funkcjonariusz finansowego organu postępowania przygotowawczego lub organu nadrzędnego nad finansowym organem postępowania przygotowawczego, notariusz, komornik, kurator sądowy, syndyk, </w:t>
      </w:r>
      <w:r w:rsidRPr="00580D6C">
        <w:rPr>
          <w:i/>
          <w:color w:val="auto"/>
        </w:rPr>
        <w:lastRenderedPageBreak/>
        <w:t xml:space="preserve">nadzorca sądowy i zarządca, osoba orzekająca w organach dyscyplinarnych działających na podstawie ustawy; </w:t>
      </w:r>
    </w:p>
    <w:p w:rsidR="00554C19" w:rsidRPr="00580D6C" w:rsidRDefault="002978C3">
      <w:pPr>
        <w:numPr>
          <w:ilvl w:val="1"/>
          <w:numId w:val="3"/>
        </w:numPr>
        <w:spacing w:after="14" w:line="387" w:lineRule="auto"/>
        <w:ind w:right="0" w:hanging="360"/>
        <w:rPr>
          <w:color w:val="auto"/>
        </w:rPr>
      </w:pPr>
      <w:r w:rsidRPr="00580D6C">
        <w:rPr>
          <w:i/>
          <w:color w:val="auto"/>
        </w:rPr>
        <w:t xml:space="preserve">osoba będąca pracownikiem administracji rządowej, innego organu państwowego lub samorządu terytorialnego, chyba że pełni wyłącznie czynności usługowe, a także inna osoba w zakresie, w którym uprawniona jest do wydawania decyzji administracyjnych; </w:t>
      </w:r>
    </w:p>
    <w:p w:rsidR="00554C19" w:rsidRPr="00580D6C" w:rsidRDefault="002978C3">
      <w:pPr>
        <w:numPr>
          <w:ilvl w:val="1"/>
          <w:numId w:val="3"/>
        </w:numPr>
        <w:spacing w:after="14" w:line="387" w:lineRule="auto"/>
        <w:ind w:right="0" w:hanging="360"/>
        <w:rPr>
          <w:color w:val="auto"/>
        </w:rPr>
      </w:pPr>
      <w:r w:rsidRPr="00580D6C">
        <w:rPr>
          <w:i/>
          <w:color w:val="auto"/>
        </w:rPr>
        <w:t xml:space="preserve">osoba będąca pracownikiem organu kontroli państwowej lub organu kontroli samorządu terytorialnego, chyba że pełni wyłącznie czynności usługowe;  </w:t>
      </w:r>
    </w:p>
    <w:p w:rsidR="00554C19" w:rsidRPr="00580D6C" w:rsidRDefault="002978C3">
      <w:pPr>
        <w:numPr>
          <w:ilvl w:val="1"/>
          <w:numId w:val="3"/>
        </w:numPr>
        <w:spacing w:after="177" w:line="259" w:lineRule="auto"/>
        <w:ind w:right="0" w:hanging="360"/>
        <w:rPr>
          <w:color w:val="auto"/>
        </w:rPr>
      </w:pPr>
      <w:r w:rsidRPr="00580D6C">
        <w:rPr>
          <w:i/>
          <w:color w:val="auto"/>
        </w:rPr>
        <w:t xml:space="preserve">osoba zajmująca kierownicze stanowisko w innej instytucji państwowej; </w:t>
      </w:r>
    </w:p>
    <w:p w:rsidR="00554C19" w:rsidRPr="00580D6C" w:rsidRDefault="002978C3">
      <w:pPr>
        <w:numPr>
          <w:ilvl w:val="1"/>
          <w:numId w:val="3"/>
        </w:numPr>
        <w:spacing w:after="14" w:line="387" w:lineRule="auto"/>
        <w:ind w:right="0" w:hanging="360"/>
        <w:rPr>
          <w:color w:val="auto"/>
        </w:rPr>
      </w:pPr>
      <w:r w:rsidRPr="00580D6C">
        <w:rPr>
          <w:i/>
          <w:color w:val="auto"/>
        </w:rPr>
        <w:t xml:space="preserve">funkcjonariusz organu powołanego do ochrony bezpieczeństwa publicznego albo funkcjonariusz Służby Więziennej;  </w:t>
      </w:r>
    </w:p>
    <w:p w:rsidR="00554C19" w:rsidRPr="00580D6C" w:rsidRDefault="002978C3">
      <w:pPr>
        <w:numPr>
          <w:ilvl w:val="1"/>
          <w:numId w:val="3"/>
        </w:numPr>
        <w:spacing w:after="14" w:line="387" w:lineRule="auto"/>
        <w:ind w:right="0" w:hanging="360"/>
        <w:rPr>
          <w:color w:val="auto"/>
        </w:rPr>
      </w:pPr>
      <w:r w:rsidRPr="00580D6C">
        <w:rPr>
          <w:i/>
          <w:color w:val="auto"/>
        </w:rPr>
        <w:t xml:space="preserve">osoba pełniąca czynną służbę wojskową, z wyjątkiem terytorialnej służby wojskowej pełnionej dyspozycyjnie; </w:t>
      </w:r>
    </w:p>
    <w:p w:rsidR="00554C19" w:rsidRPr="00580D6C" w:rsidRDefault="002978C3">
      <w:pPr>
        <w:numPr>
          <w:ilvl w:val="1"/>
          <w:numId w:val="3"/>
        </w:numPr>
        <w:spacing w:after="14" w:line="387" w:lineRule="auto"/>
        <w:ind w:right="0" w:hanging="360"/>
        <w:rPr>
          <w:color w:val="auto"/>
        </w:rPr>
      </w:pPr>
      <w:r w:rsidRPr="00580D6C">
        <w:rPr>
          <w:i/>
          <w:color w:val="auto"/>
        </w:rPr>
        <w:t xml:space="preserve">pracownik międzynarodowego trybunału karnego, chyba że pełni wyłącznie czynności usługowe. </w:t>
      </w:r>
    </w:p>
    <w:p w:rsidR="00554C19" w:rsidRPr="00580D6C" w:rsidRDefault="002736DF">
      <w:pPr>
        <w:numPr>
          <w:ilvl w:val="0"/>
          <w:numId w:val="1"/>
        </w:numPr>
        <w:spacing w:after="293" w:line="259" w:lineRule="auto"/>
        <w:ind w:right="0" w:hanging="336"/>
        <w:rPr>
          <w:color w:val="auto"/>
        </w:rPr>
      </w:pPr>
      <w:r>
        <w:rPr>
          <w:color w:val="auto"/>
        </w:rPr>
        <w:t>Nie jest konieczne, aby pełnomocnik wyborczy wchodził w skład komitetu wyborczego.</w:t>
      </w:r>
    </w:p>
    <w:p w:rsidR="00554C19" w:rsidRPr="00580D6C" w:rsidRDefault="002978C3">
      <w:pPr>
        <w:numPr>
          <w:ilvl w:val="0"/>
          <w:numId w:val="1"/>
        </w:numPr>
        <w:ind w:right="0" w:hanging="336"/>
        <w:rPr>
          <w:color w:val="auto"/>
        </w:rPr>
      </w:pPr>
      <w:r w:rsidRPr="00580D6C">
        <w:rPr>
          <w:color w:val="auto"/>
        </w:rPr>
        <w:t xml:space="preserve">Nazwa komitetu wyborczego wyborców musi zawierać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Nazwa komitetu wyborczego powinna odróżniać się wyraźnie od nazw i skrótów nazw innych komitetów wyborczych. </w:t>
      </w:r>
    </w:p>
    <w:p w:rsidR="00554C19" w:rsidRPr="00580D6C" w:rsidRDefault="002978C3">
      <w:pPr>
        <w:numPr>
          <w:ilvl w:val="0"/>
          <w:numId w:val="1"/>
        </w:numPr>
        <w:ind w:right="0" w:hanging="336"/>
        <w:rPr>
          <w:color w:val="auto"/>
        </w:rPr>
      </w:pPr>
      <w:r w:rsidRPr="00580D6C">
        <w:rPr>
          <w:color w:val="auto"/>
        </w:rPr>
        <w:t xml:space="preserve">Każdy komitet wyborczy </w:t>
      </w:r>
      <w:r w:rsidR="002736DF">
        <w:rPr>
          <w:color w:val="auto"/>
        </w:rPr>
        <w:t>przyjmuje</w:t>
      </w:r>
      <w:r w:rsidRPr="00580D6C">
        <w:rPr>
          <w:color w:val="auto"/>
        </w:rPr>
        <w:t xml:space="preserve"> skrót nazwy umożliwiający jego identyfikację przez nawiązanie do pełnej nazwy komitetu. W szczególności skrót nazwy komitetu wyborczego wyborców zawiera w pierwszej kolejności wyrazy Komitet Wyborczy Wyborców albo „KWW”, a następnie nazwę albo skrót nazwy użytej w nazwie komitetu wyborczego. Skrót nazwy komitetu wyborczego wyborców nie może składać się z więcej niż 45 znaków drukarskich, wliczając spacje. Skrót nazwy komitetu wyborczego </w:t>
      </w:r>
      <w:r w:rsidRPr="00580D6C">
        <w:rPr>
          <w:color w:val="auto"/>
        </w:rPr>
        <w:lastRenderedPageBreak/>
        <w:t xml:space="preserve">wyborców może być taki sam jak nazwa tego komitetu pod warunkiem, że nazwa komitetu składa się z nie więcej niż 45 znaków drukarskich, wliczając spacje. </w:t>
      </w:r>
    </w:p>
    <w:p w:rsidR="00916F1C" w:rsidRPr="00580D6C" w:rsidRDefault="002978C3">
      <w:pPr>
        <w:ind w:left="569" w:right="0"/>
        <w:rPr>
          <w:color w:val="auto"/>
        </w:rPr>
      </w:pPr>
      <w:r w:rsidRPr="00580D6C">
        <w:rPr>
          <w:color w:val="auto"/>
        </w:rPr>
        <w:t xml:space="preserve">Skrót nazwy komitetu wyborczego wyborców musi być różny od nazw lub skrótów nazw partii politycznych lub organizacji wpisanych odpowiednio do ewidencji lub rejestru. Skrót nazwy komitetu wyborczego powinien odróżniać się wyraźnie od nazw i skrótów nazw innych komitetów wyborczych. </w:t>
      </w:r>
    </w:p>
    <w:p w:rsidR="00554C19" w:rsidRPr="00580D6C" w:rsidRDefault="002978C3">
      <w:pPr>
        <w:ind w:left="569" w:right="0"/>
        <w:rPr>
          <w:color w:val="auto"/>
        </w:rPr>
      </w:pPr>
      <w:r w:rsidRPr="00580D6C">
        <w:rPr>
          <w:b/>
          <w:i/>
          <w:color w:val="auto"/>
        </w:rPr>
        <w:t xml:space="preserve">Uwaga! </w:t>
      </w:r>
    </w:p>
    <w:p w:rsidR="00554C19" w:rsidRPr="00580D6C" w:rsidRDefault="002978C3">
      <w:pPr>
        <w:spacing w:after="14" w:line="387" w:lineRule="auto"/>
        <w:ind w:left="577" w:right="0"/>
        <w:rPr>
          <w:color w:val="auto"/>
        </w:rPr>
      </w:pPr>
      <w:r w:rsidRPr="00580D6C">
        <w:rPr>
          <w:i/>
          <w:color w:val="auto"/>
        </w:rPr>
        <w:t xml:space="preserve">Należy pamiętać, że </w:t>
      </w:r>
      <w:r w:rsidRPr="00580D6C">
        <w:rPr>
          <w:i/>
          <w:color w:val="auto"/>
          <w:u w:val="single" w:color="000000"/>
        </w:rPr>
        <w:t>na urzędowych obwieszczeniach i na karcie do głosowania</w:t>
      </w:r>
      <w:r w:rsidRPr="00580D6C">
        <w:rPr>
          <w:i/>
          <w:color w:val="auto"/>
        </w:rPr>
        <w:t xml:space="preserve"> </w:t>
      </w:r>
      <w:r w:rsidRPr="00580D6C">
        <w:rPr>
          <w:i/>
          <w:color w:val="auto"/>
          <w:u w:val="single" w:color="000000"/>
        </w:rPr>
        <w:t>umieszczony będzie skrót nazwy komitetu wyborczego</w:t>
      </w:r>
      <w:r w:rsidRPr="00580D6C">
        <w:rPr>
          <w:i/>
          <w:color w:val="auto"/>
        </w:rPr>
        <w:t xml:space="preserve">, a nie </w:t>
      </w:r>
      <w:r w:rsidR="00C63997">
        <w:rPr>
          <w:i/>
          <w:color w:val="auto"/>
        </w:rPr>
        <w:t xml:space="preserve">pełna </w:t>
      </w:r>
      <w:r w:rsidRPr="00580D6C">
        <w:rPr>
          <w:i/>
          <w:color w:val="auto"/>
        </w:rPr>
        <w:t xml:space="preserve">nazwa komitetu wyborczego (art. 435 § 1, art. 438 § 1, art. 470 i art. 485 Kodeksu wyborczego). </w:t>
      </w:r>
    </w:p>
    <w:p w:rsidR="00554C19" w:rsidRPr="00580D6C" w:rsidRDefault="002978C3">
      <w:pPr>
        <w:numPr>
          <w:ilvl w:val="0"/>
          <w:numId w:val="1"/>
        </w:numPr>
        <w:ind w:right="0" w:hanging="336"/>
        <w:rPr>
          <w:color w:val="auto"/>
        </w:rPr>
      </w:pPr>
      <w:r w:rsidRPr="00580D6C">
        <w:rPr>
          <w:color w:val="auto"/>
        </w:rPr>
        <w:t xml:space="preserve">Pełnomocnik wyborczy komitetu wyborczego wyborców zawiadamia </w:t>
      </w:r>
      <w:r w:rsidR="00BE03A9" w:rsidRPr="00580D6C">
        <w:rPr>
          <w:color w:val="auto"/>
        </w:rPr>
        <w:t>K</w:t>
      </w:r>
      <w:r w:rsidRPr="00580D6C">
        <w:rPr>
          <w:color w:val="auto"/>
        </w:rPr>
        <w:t xml:space="preserve">omisarza </w:t>
      </w:r>
      <w:r w:rsidR="00BE03A9" w:rsidRPr="00580D6C">
        <w:rPr>
          <w:color w:val="auto"/>
        </w:rPr>
        <w:t>W</w:t>
      </w:r>
      <w:r w:rsidRPr="00580D6C">
        <w:rPr>
          <w:color w:val="auto"/>
        </w:rPr>
        <w:t xml:space="preserve">yborczego </w:t>
      </w:r>
      <w:r w:rsidR="00BE03A9" w:rsidRPr="00580D6C">
        <w:rPr>
          <w:color w:val="auto"/>
        </w:rPr>
        <w:t xml:space="preserve">w Białymstoku I </w:t>
      </w:r>
      <w:r w:rsidRPr="00580D6C">
        <w:rPr>
          <w:color w:val="auto"/>
        </w:rPr>
        <w:t xml:space="preserve">o utworzeniu komitetu wyborczego. </w:t>
      </w:r>
      <w:r w:rsidRPr="00580D6C">
        <w:rPr>
          <w:b/>
          <w:color w:val="auto"/>
        </w:rPr>
        <w:t xml:space="preserve"> </w:t>
      </w:r>
    </w:p>
    <w:p w:rsidR="00554C19" w:rsidRPr="00580D6C" w:rsidRDefault="002978C3">
      <w:pPr>
        <w:spacing w:after="167" w:line="259" w:lineRule="auto"/>
        <w:ind w:left="569" w:right="0"/>
        <w:rPr>
          <w:color w:val="auto"/>
        </w:rPr>
      </w:pPr>
      <w:r w:rsidRPr="00580D6C">
        <w:rPr>
          <w:b/>
          <w:color w:val="auto"/>
        </w:rPr>
        <w:t xml:space="preserve">Zawiadomienie to musi być dokonane </w:t>
      </w:r>
      <w:r w:rsidRPr="00580D6C">
        <w:rPr>
          <w:color w:val="auto"/>
        </w:rPr>
        <w:t xml:space="preserve">w terminie do 55 dnia przed dniem wyborów </w:t>
      </w:r>
    </w:p>
    <w:p w:rsidR="00554C19" w:rsidRPr="00580D6C" w:rsidRDefault="002978C3">
      <w:pPr>
        <w:spacing w:after="0" w:line="381" w:lineRule="auto"/>
        <w:ind w:left="577" w:right="0"/>
        <w:rPr>
          <w:color w:val="auto"/>
        </w:rPr>
      </w:pPr>
      <w:r w:rsidRPr="00580D6C">
        <w:rPr>
          <w:color w:val="auto"/>
        </w:rPr>
        <w:t xml:space="preserve">(art. 403 § 3 w związku z § 2 Kodeksu wyborczego), tj. </w:t>
      </w:r>
      <w:r w:rsidRPr="00580D6C">
        <w:rPr>
          <w:b/>
          <w:color w:val="auto"/>
        </w:rPr>
        <w:t>najpóźniej w dniu</w:t>
      </w:r>
      <w:r w:rsidR="00AC24E9">
        <w:rPr>
          <w:b/>
          <w:color w:val="auto"/>
        </w:rPr>
        <w:t xml:space="preserve"> </w:t>
      </w:r>
      <w:r w:rsidR="00BE03A9" w:rsidRPr="00580D6C">
        <w:rPr>
          <w:b/>
          <w:color w:val="auto"/>
        </w:rPr>
        <w:t xml:space="preserve">20 stycznia 2025 r. </w:t>
      </w:r>
      <w:r w:rsidRPr="00580D6C">
        <w:rPr>
          <w:b/>
          <w:color w:val="auto"/>
        </w:rPr>
        <w:t xml:space="preserve">w godzinach </w:t>
      </w:r>
      <w:r w:rsidR="009D3B6F" w:rsidRPr="00580D6C">
        <w:rPr>
          <w:b/>
          <w:color w:val="auto"/>
        </w:rPr>
        <w:t>8.15 - 16.15</w:t>
      </w:r>
      <w:r w:rsidRPr="00580D6C">
        <w:rPr>
          <w:b/>
          <w:color w:val="auto"/>
        </w:rPr>
        <w:t xml:space="preserve">. </w:t>
      </w:r>
    </w:p>
    <w:p w:rsidR="00554C19" w:rsidRPr="00580D6C" w:rsidRDefault="002978C3">
      <w:pPr>
        <w:ind w:left="569" w:right="0"/>
        <w:rPr>
          <w:color w:val="auto"/>
        </w:rPr>
      </w:pPr>
      <w:r w:rsidRPr="00580D6C">
        <w:rPr>
          <w:color w:val="auto"/>
        </w:rPr>
        <w:t>Zawiadomienia można składać w siedzibie komisarza wyborczego</w:t>
      </w:r>
      <w:r w:rsidR="009D3B6F" w:rsidRPr="00580D6C">
        <w:rPr>
          <w:color w:val="auto"/>
        </w:rPr>
        <w:t xml:space="preserve"> tj. w Białymstoku przy ul. Mickiewicza 3 </w:t>
      </w:r>
      <w:r w:rsidR="00E574BF">
        <w:rPr>
          <w:color w:val="auto"/>
        </w:rPr>
        <w:t>(</w:t>
      </w:r>
      <w:r w:rsidR="00FD02DA">
        <w:rPr>
          <w:color w:val="auto"/>
        </w:rPr>
        <w:t xml:space="preserve">w </w:t>
      </w:r>
      <w:r w:rsidR="009D3B6F" w:rsidRPr="00580D6C">
        <w:rPr>
          <w:color w:val="auto"/>
        </w:rPr>
        <w:t>pok. 303</w:t>
      </w:r>
      <w:r w:rsidR="002665D8" w:rsidRPr="00580D6C">
        <w:rPr>
          <w:color w:val="auto"/>
        </w:rPr>
        <w:t xml:space="preserve"> </w:t>
      </w:r>
      <w:r w:rsidR="00E574BF">
        <w:rPr>
          <w:color w:val="auto"/>
        </w:rPr>
        <w:t xml:space="preserve">- </w:t>
      </w:r>
      <w:r w:rsidR="002665D8" w:rsidRPr="00580D6C">
        <w:rPr>
          <w:color w:val="auto"/>
        </w:rPr>
        <w:t>budynek Podlaskiego Urzędu Wojewódzkiego)</w:t>
      </w:r>
      <w:r w:rsidRPr="00580D6C">
        <w:rPr>
          <w:color w:val="auto"/>
        </w:rPr>
        <w:t xml:space="preserve">, od dnia ogłoszenia w Dzienniku Ustaw rozporządzenia Prezesa Rady Ministrów o zarządzeniu wyborów. Zawiadomienie w formie pisemnej wraz z załącznikami może być złożone przez pełnomocnika wyborczego komitetu wyborczego wyborców lub w inny sposób doręczone komisarzowi wyborczemu (np. pocztą). </w:t>
      </w:r>
      <w:r w:rsidRPr="00580D6C">
        <w:rPr>
          <w:b/>
          <w:color w:val="auto"/>
        </w:rPr>
        <w:t xml:space="preserve">W razie wysłania pocztą o dotrzymaniu terminu złożenia zawiadomienia rozstrzyga data wpływu przesyłki do komisarza wyborczego (art. 9 § 1 Kodeksu wyborczego). </w:t>
      </w:r>
    </w:p>
    <w:p w:rsidR="00554C19" w:rsidRPr="00580D6C" w:rsidRDefault="002978C3">
      <w:pPr>
        <w:numPr>
          <w:ilvl w:val="0"/>
          <w:numId w:val="4"/>
        </w:numPr>
        <w:spacing w:after="164" w:line="259" w:lineRule="auto"/>
        <w:ind w:right="0" w:hanging="466"/>
        <w:rPr>
          <w:color w:val="auto"/>
        </w:rPr>
      </w:pPr>
      <w:r w:rsidRPr="00580D6C">
        <w:rPr>
          <w:color w:val="auto"/>
        </w:rPr>
        <w:t xml:space="preserve">Zawiadomienie o utworzeniu komitetu wyborczego wyborców musi zawierać: </w:t>
      </w:r>
    </w:p>
    <w:p w:rsidR="00554C19" w:rsidRPr="00580D6C" w:rsidRDefault="002978C3">
      <w:pPr>
        <w:numPr>
          <w:ilvl w:val="1"/>
          <w:numId w:val="4"/>
        </w:numPr>
        <w:ind w:right="0" w:hanging="427"/>
        <w:rPr>
          <w:color w:val="auto"/>
        </w:rPr>
      </w:pPr>
      <w:r w:rsidRPr="00580D6C">
        <w:rPr>
          <w:color w:val="auto"/>
        </w:rPr>
        <w:t xml:space="preserve">nazwisko i imię (imiona) pełnomocnika wyborczego komitetu wyborczego wyborców, który sporządził zawiadomienie oraz oznaczenie miejsca i daty sporządzenia zawiadomienia i podpis pełnomocnika pod zawiadomieniem; </w:t>
      </w:r>
    </w:p>
    <w:p w:rsidR="00554C19" w:rsidRPr="00580D6C" w:rsidRDefault="002978C3">
      <w:pPr>
        <w:numPr>
          <w:ilvl w:val="1"/>
          <w:numId w:val="4"/>
        </w:numPr>
        <w:spacing w:after="152" w:line="259" w:lineRule="auto"/>
        <w:ind w:right="0" w:hanging="427"/>
        <w:rPr>
          <w:color w:val="auto"/>
        </w:rPr>
      </w:pPr>
      <w:r w:rsidRPr="00580D6C">
        <w:rPr>
          <w:color w:val="auto"/>
        </w:rPr>
        <w:t xml:space="preserve">nazwę utworzonego komitetu wyborczego wyborców, ustaloną zgodnie z pkt 4; </w:t>
      </w:r>
    </w:p>
    <w:p w:rsidR="00554C19" w:rsidRPr="00580D6C" w:rsidRDefault="002978C3">
      <w:pPr>
        <w:numPr>
          <w:ilvl w:val="1"/>
          <w:numId w:val="4"/>
        </w:numPr>
        <w:spacing w:after="176" w:line="259" w:lineRule="auto"/>
        <w:ind w:right="0" w:hanging="427"/>
        <w:rPr>
          <w:color w:val="auto"/>
        </w:rPr>
      </w:pPr>
      <w:r w:rsidRPr="00580D6C">
        <w:rPr>
          <w:color w:val="auto"/>
        </w:rPr>
        <w:t xml:space="preserve">skrót nazwy komitetu wyborczego wyborców, ustalony zgodnie z pkt 5; </w:t>
      </w:r>
    </w:p>
    <w:p w:rsidR="00554C19" w:rsidRPr="00580D6C" w:rsidRDefault="002978C3">
      <w:pPr>
        <w:numPr>
          <w:ilvl w:val="1"/>
          <w:numId w:val="4"/>
        </w:numPr>
        <w:spacing w:line="259" w:lineRule="auto"/>
        <w:ind w:right="0" w:hanging="427"/>
        <w:rPr>
          <w:color w:val="auto"/>
        </w:rPr>
      </w:pPr>
      <w:r w:rsidRPr="00580D6C">
        <w:rPr>
          <w:color w:val="auto"/>
        </w:rPr>
        <w:t xml:space="preserve">adres siedziby komitetu wyborczego wyborców; </w:t>
      </w:r>
    </w:p>
    <w:p w:rsidR="00554C19" w:rsidRPr="00580D6C" w:rsidRDefault="002978C3">
      <w:pPr>
        <w:numPr>
          <w:ilvl w:val="1"/>
          <w:numId w:val="4"/>
        </w:numPr>
        <w:spacing w:after="39"/>
        <w:ind w:right="0" w:hanging="427"/>
        <w:rPr>
          <w:color w:val="auto"/>
        </w:rPr>
      </w:pPr>
      <w:r w:rsidRPr="00580D6C">
        <w:rPr>
          <w:color w:val="auto"/>
        </w:rPr>
        <w:lastRenderedPageBreak/>
        <w:t xml:space="preserve">informację o powołaniu pełnomocnika wyborczego komitetu wyborczego wyborców z podaniem następujących danych: </w:t>
      </w:r>
    </w:p>
    <w:p w:rsidR="00554C19" w:rsidRPr="00580D6C" w:rsidRDefault="002978C3">
      <w:pPr>
        <w:ind w:left="1419" w:right="0" w:hanging="425"/>
        <w:rPr>
          <w:color w:val="auto"/>
        </w:rPr>
      </w:pPr>
      <w:r w:rsidRPr="00580D6C">
        <w:rPr>
          <w:rFonts w:ascii="Segoe UI Symbol" w:eastAsia="Segoe UI Symbol" w:hAnsi="Segoe UI Symbol" w:cs="Segoe UI Symbol"/>
          <w:color w:val="auto"/>
        </w:rPr>
        <w:t>−</w:t>
      </w:r>
      <w:r w:rsidRPr="00580D6C">
        <w:rPr>
          <w:rFonts w:ascii="Arial" w:eastAsia="Arial" w:hAnsi="Arial" w:cs="Arial"/>
          <w:color w:val="auto"/>
        </w:rPr>
        <w:t xml:space="preserve"> </w:t>
      </w:r>
      <w:r w:rsidRPr="00580D6C">
        <w:rPr>
          <w:color w:val="auto"/>
        </w:rPr>
        <w:t xml:space="preserve">imię (imiona) i nazwisko, adres zamieszkania i numer PESEL pełnomocnika wyborczego; </w:t>
      </w:r>
    </w:p>
    <w:p w:rsidR="00554C19" w:rsidRPr="00580D6C" w:rsidRDefault="002978C3">
      <w:pPr>
        <w:numPr>
          <w:ilvl w:val="1"/>
          <w:numId w:val="4"/>
        </w:numPr>
        <w:ind w:right="0" w:hanging="427"/>
        <w:rPr>
          <w:color w:val="auto"/>
        </w:rPr>
      </w:pPr>
      <w:r w:rsidRPr="00580D6C">
        <w:rPr>
          <w:color w:val="auto"/>
        </w:rPr>
        <w:t xml:space="preserve">imię (imiona) i nazwiska, adresy zamieszkania oraz numery PESEL obywateli tworzących komitet wyborczy wyborców; </w:t>
      </w:r>
    </w:p>
    <w:p w:rsidR="00554C19" w:rsidRPr="00580D6C" w:rsidRDefault="002978C3">
      <w:pPr>
        <w:numPr>
          <w:ilvl w:val="1"/>
          <w:numId w:val="4"/>
        </w:numPr>
        <w:spacing w:after="363" w:line="259" w:lineRule="auto"/>
        <w:ind w:right="0" w:hanging="427"/>
        <w:rPr>
          <w:color w:val="auto"/>
        </w:rPr>
      </w:pPr>
      <w:r w:rsidRPr="00580D6C">
        <w:rPr>
          <w:color w:val="auto"/>
        </w:rPr>
        <w:t xml:space="preserve">nazwę gminy, na obszarze której komitet ma zamiar zgłaszać kandydatów. </w:t>
      </w:r>
    </w:p>
    <w:p w:rsidR="00554C19" w:rsidRPr="00580D6C" w:rsidRDefault="002978C3" w:rsidP="00916F1C">
      <w:pPr>
        <w:ind w:left="559" w:right="0" w:firstLine="0"/>
        <w:rPr>
          <w:color w:val="auto"/>
        </w:rPr>
      </w:pPr>
      <w:r w:rsidRPr="00580D6C">
        <w:rPr>
          <w:color w:val="auto"/>
        </w:rPr>
        <w:t xml:space="preserve">Ze względów organizacyjnych niezbędne jest podanie na użytek komisarza wyborczego danych kontaktowych do komitetu wyborczego i pełnomocnika wyborczego (numerów telefonów i adresów e-mail). </w:t>
      </w:r>
    </w:p>
    <w:p w:rsidR="00554C19" w:rsidRPr="00580D6C" w:rsidRDefault="002978C3">
      <w:pPr>
        <w:numPr>
          <w:ilvl w:val="0"/>
          <w:numId w:val="4"/>
        </w:numPr>
        <w:spacing w:after="14" w:line="387" w:lineRule="auto"/>
        <w:ind w:right="0" w:hanging="466"/>
        <w:rPr>
          <w:color w:val="auto"/>
        </w:rPr>
      </w:pPr>
      <w:r w:rsidRPr="00580D6C">
        <w:rPr>
          <w:color w:val="auto"/>
        </w:rPr>
        <w:t xml:space="preserve">Zawiadomienie podpisuje pełnomocnik wyborczy komitetu wyborczego wyborców. </w:t>
      </w:r>
      <w:r w:rsidRPr="00580D6C">
        <w:rPr>
          <w:i/>
          <w:color w:val="auto"/>
        </w:rPr>
        <w:t>(wzór zawiadomienia stanowi załącznik nr</w:t>
      </w:r>
      <w:r w:rsidR="00916F1C" w:rsidRPr="00580D6C">
        <w:rPr>
          <w:i/>
          <w:color w:val="auto"/>
        </w:rPr>
        <w:t xml:space="preserve"> 1</w:t>
      </w:r>
      <w:r w:rsidRPr="00580D6C">
        <w:rPr>
          <w:i/>
          <w:color w:val="auto"/>
        </w:rPr>
        <w:t>)</w:t>
      </w:r>
      <w:r w:rsidRPr="00580D6C">
        <w:rPr>
          <w:color w:val="auto"/>
        </w:rPr>
        <w:t xml:space="preserve">. </w:t>
      </w:r>
    </w:p>
    <w:p w:rsidR="00554C19" w:rsidRPr="00580D6C" w:rsidRDefault="002978C3">
      <w:pPr>
        <w:numPr>
          <w:ilvl w:val="0"/>
          <w:numId w:val="4"/>
        </w:numPr>
        <w:spacing w:after="170" w:line="259" w:lineRule="auto"/>
        <w:ind w:right="0" w:hanging="466"/>
        <w:rPr>
          <w:color w:val="auto"/>
        </w:rPr>
      </w:pPr>
      <w:r w:rsidRPr="00580D6C">
        <w:rPr>
          <w:color w:val="auto"/>
        </w:rPr>
        <w:t xml:space="preserve">Do zawiadomienia załącza się: </w:t>
      </w:r>
    </w:p>
    <w:p w:rsidR="00554C19" w:rsidRPr="00580D6C" w:rsidRDefault="002978C3">
      <w:pPr>
        <w:numPr>
          <w:ilvl w:val="1"/>
          <w:numId w:val="4"/>
        </w:numPr>
        <w:spacing w:after="14" w:line="387" w:lineRule="auto"/>
        <w:ind w:right="0" w:hanging="427"/>
        <w:rPr>
          <w:color w:val="auto"/>
        </w:rPr>
      </w:pPr>
      <w:r w:rsidRPr="00580D6C">
        <w:rPr>
          <w:color w:val="auto"/>
        </w:rPr>
        <w:t xml:space="preserve">oświadczenie o utworzeniu komitetu wyborczego </w:t>
      </w:r>
      <w:r w:rsidRPr="00580D6C">
        <w:rPr>
          <w:i/>
          <w:color w:val="auto"/>
        </w:rPr>
        <w:t>(wzór oświadczenia stanowi załącznik nr 2)</w:t>
      </w:r>
      <w:r w:rsidRPr="00580D6C">
        <w:rPr>
          <w:color w:val="auto"/>
        </w:rPr>
        <w:t xml:space="preserve">;  </w:t>
      </w:r>
    </w:p>
    <w:p w:rsidR="00554C19" w:rsidRPr="00580D6C" w:rsidRDefault="002978C3">
      <w:pPr>
        <w:numPr>
          <w:ilvl w:val="1"/>
          <w:numId w:val="4"/>
        </w:numPr>
        <w:spacing w:after="14" w:line="387" w:lineRule="auto"/>
        <w:ind w:right="0" w:hanging="427"/>
        <w:rPr>
          <w:color w:val="auto"/>
        </w:rPr>
      </w:pPr>
      <w:r w:rsidRPr="00580D6C">
        <w:rPr>
          <w:color w:val="auto"/>
        </w:rPr>
        <w:t xml:space="preserve">oświadczenie pełnomocnika wyborczego komitetu wyborczego o przyjęciu funkcji pełnomocnika wyborczego i pełnomocnika finansowego oraz spełnieniu wymogów wymienionych w art. 127 § 2 i 3 Kodeksu wyborczego </w:t>
      </w:r>
      <w:r w:rsidRPr="00580D6C">
        <w:rPr>
          <w:i/>
          <w:color w:val="auto"/>
        </w:rPr>
        <w:t>(wzór oświadczenia pełnomocnika wyborczego stanowi załącznik nr 3)</w:t>
      </w:r>
      <w:r w:rsidRPr="00580D6C">
        <w:rPr>
          <w:color w:val="auto"/>
        </w:rPr>
        <w:t xml:space="preserve">; </w:t>
      </w:r>
    </w:p>
    <w:p w:rsidR="00554C19" w:rsidRPr="00580D6C" w:rsidRDefault="002978C3">
      <w:pPr>
        <w:numPr>
          <w:ilvl w:val="1"/>
          <w:numId w:val="4"/>
        </w:numPr>
        <w:ind w:right="0" w:hanging="427"/>
        <w:rPr>
          <w:color w:val="auto"/>
        </w:rPr>
      </w:pPr>
      <w:r w:rsidRPr="00580D6C">
        <w:rPr>
          <w:color w:val="auto"/>
        </w:rPr>
        <w:t xml:space="preserve">uchwałę komitetu wyborczego o powołaniu pełnomocnika wyborczego (jeśli informacja o powołaniu pełnomocnika wyborczego nie jest zawarta w oświadczeniu o utworzeniu komitetu, o którym mowa w ppkt1); </w:t>
      </w:r>
    </w:p>
    <w:p w:rsidR="00554C19" w:rsidRPr="00580D6C" w:rsidRDefault="002978C3">
      <w:pPr>
        <w:numPr>
          <w:ilvl w:val="1"/>
          <w:numId w:val="4"/>
        </w:numPr>
        <w:ind w:right="0" w:hanging="427"/>
        <w:rPr>
          <w:color w:val="auto"/>
        </w:rPr>
      </w:pPr>
      <w:r w:rsidRPr="00580D6C">
        <w:rPr>
          <w:color w:val="auto"/>
        </w:rPr>
        <w:t xml:space="preserve">fakultatywnie symbol graficzny komitetu wyborczego w formie papierowej oraz elektronicznej. Wzorzec symbolu graficznego komitetu wyborczego wyborców musi odróżniać się wyraźnie od wzorców symboli graficznych innych komitetów wyborczych. Symbol graficzny dołączony w formie elektronicznej musi zostać przekazany na nośniku elektronicznym, który pozostaje w dokumentach zgłoszeniowych. Symbol graficzny dołączony w tej formie musi spełniać następujące wymagania: wymiar: 9mm x 9mm, rozdzielczość: 106x106 pikseli, kolor: czarno-biały (8bit), format: PNG, rozmiar: do 100KB; </w:t>
      </w:r>
    </w:p>
    <w:p w:rsidR="00554C19" w:rsidRPr="00EA0819" w:rsidRDefault="002978C3">
      <w:pPr>
        <w:numPr>
          <w:ilvl w:val="1"/>
          <w:numId w:val="4"/>
        </w:numPr>
        <w:ind w:right="0" w:hanging="427"/>
        <w:rPr>
          <w:color w:val="auto"/>
          <w:u w:val="single"/>
        </w:rPr>
      </w:pPr>
      <w:r w:rsidRPr="00EA0819">
        <w:rPr>
          <w:color w:val="auto"/>
          <w:u w:val="single"/>
        </w:rPr>
        <w:lastRenderedPageBreak/>
        <w:t xml:space="preserve">oświadczenie o wyrażeniu zgody na użycie w nazwie komitetu wyborczego wyborców imienia i nazwiska osoby, której imię i nazwisko użyto w nazwie komitetu wyborczego wyborców, jeżeli nie jest ona członkiem tego komitetu. </w:t>
      </w:r>
    </w:p>
    <w:p w:rsidR="00554C19" w:rsidRPr="00580D6C" w:rsidRDefault="002978C3">
      <w:pPr>
        <w:numPr>
          <w:ilvl w:val="0"/>
          <w:numId w:val="4"/>
        </w:numPr>
        <w:ind w:right="0" w:hanging="466"/>
        <w:rPr>
          <w:color w:val="auto"/>
        </w:rPr>
      </w:pPr>
      <w:r w:rsidRPr="00580D6C">
        <w:rPr>
          <w:color w:val="auto"/>
        </w:rPr>
        <w:t xml:space="preserve">Zawiadomienie przyjmuje i wstępnie sprawdza komisarz wyborczy albo pracownik delegatury Krajowego Biura Wyborczego upoważniony przez komisarza wyborczego, w czasie godzin pracy delegatury Krajowego Biura Wyborczego. Jeżeli zawiadomienie złożone zostanie bezpośrednio komisarzowi wyborczemu w jego siedzibie, przyjmujący wyda dokonującemu zawiadomienia potwierdzenie jego złożenia. Przyjmujący zawiadomienie wstępnie sprawdzi, czy spełnia ono warunki ustawowe oraz czy do zawiadomienia dołączono wymagane załączniki. W przypadku wad formalnych zawiadomienia osoba składająca zawiadomienie zostanie o nich poinformowana ustnie przez przyjmującego, jednakże ostatecznej oceny poprawności zawiadomienia dokona komisarz wyborczy. W przypadku, gdy symbol graficzny nie spełnia wymagań, w tym wskazanych w pkt 9 </w:t>
      </w:r>
      <w:proofErr w:type="spellStart"/>
      <w:r w:rsidRPr="00580D6C">
        <w:rPr>
          <w:color w:val="auto"/>
        </w:rPr>
        <w:t>ppkt</w:t>
      </w:r>
      <w:proofErr w:type="spellEnd"/>
      <w:r w:rsidRPr="00580D6C">
        <w:rPr>
          <w:color w:val="auto"/>
        </w:rPr>
        <w:t xml:space="preserve"> 4 lub nie odróżnia się wyraźnie od symboli graficznych innych komitetów wyborczych, osoba przyjmująca zawiadomienie poinformuje o tym składającego dokumenty dotyczące zgłoszenia. </w:t>
      </w:r>
    </w:p>
    <w:p w:rsidR="00554C19" w:rsidRPr="00580D6C" w:rsidRDefault="002978C3">
      <w:pPr>
        <w:ind w:left="569" w:right="0"/>
        <w:rPr>
          <w:color w:val="auto"/>
        </w:rPr>
      </w:pPr>
      <w:r w:rsidRPr="00580D6C">
        <w:rPr>
          <w:color w:val="auto"/>
        </w:rPr>
        <w:t xml:space="preserve">Jeżeli komitet wyborczy nie dostarczy symbolu graficznego spełniającego wymagania do czasu rozpatrzenia zawiadomienia, będzie to równoznaczne z jego niezałączeniem.  </w:t>
      </w:r>
    </w:p>
    <w:p w:rsidR="00554C19" w:rsidRPr="00580D6C" w:rsidRDefault="002978C3">
      <w:pPr>
        <w:numPr>
          <w:ilvl w:val="0"/>
          <w:numId w:val="4"/>
        </w:numPr>
        <w:ind w:right="0" w:hanging="466"/>
        <w:rPr>
          <w:color w:val="auto"/>
        </w:rPr>
      </w:pPr>
      <w:r w:rsidRPr="00580D6C">
        <w:rPr>
          <w:color w:val="auto"/>
        </w:rPr>
        <w:t>Jeżeli zawiadomienie o utworzeniu komitetu wyborczego spełnia określone w Kodeksie wyborczym warunki</w:t>
      </w:r>
      <w:r w:rsidR="00F50E25">
        <w:rPr>
          <w:color w:val="auto"/>
        </w:rPr>
        <w:t>,</w:t>
      </w:r>
      <w:r w:rsidRPr="00580D6C">
        <w:rPr>
          <w:color w:val="auto"/>
        </w:rPr>
        <w:t xml:space="preserve"> komisarz wyborczy w terminie 3 dni od złożenia zawiadomienia, postanawia o jego przyjęciu; postanowienie to doręcza się niezwłocznie pełnomocnikowi wyborczemu (art. 97 § 1 Kodeksu wyborczego). </w:t>
      </w:r>
    </w:p>
    <w:p w:rsidR="00554C19" w:rsidRPr="00580D6C" w:rsidRDefault="002978C3">
      <w:pPr>
        <w:numPr>
          <w:ilvl w:val="0"/>
          <w:numId w:val="4"/>
        </w:numPr>
        <w:ind w:right="0" w:hanging="466"/>
        <w:rPr>
          <w:color w:val="auto"/>
        </w:rPr>
      </w:pPr>
      <w:r w:rsidRPr="00580D6C">
        <w:rPr>
          <w:color w:val="auto"/>
        </w:rPr>
        <w:t>Jeżeli zawiadomienie wykazuje wady, komisarz wyborczy, w terminie 3 dni od jego złożenia wzywa pełnomocnika wyborczego do ich usunięcia w terminie 2</w:t>
      </w:r>
      <w:r w:rsidR="000463AF" w:rsidRPr="00580D6C">
        <w:rPr>
          <w:color w:val="auto"/>
        </w:rPr>
        <w:t xml:space="preserve"> </w:t>
      </w:r>
      <w:r w:rsidRPr="00580D6C">
        <w:rPr>
          <w:color w:val="auto"/>
        </w:rPr>
        <w:t xml:space="preserve">dni od daty podania do publicznej wiadomości (na stronie internetowej Delegatury Krajowego </w:t>
      </w:r>
    </w:p>
    <w:p w:rsidR="00554C19" w:rsidRPr="00580D6C" w:rsidRDefault="002978C3">
      <w:pPr>
        <w:spacing w:after="163" w:line="259" w:lineRule="auto"/>
        <w:ind w:left="569" w:right="0"/>
        <w:rPr>
          <w:color w:val="auto"/>
        </w:rPr>
      </w:pPr>
      <w:r w:rsidRPr="00580D6C">
        <w:rPr>
          <w:color w:val="auto"/>
        </w:rPr>
        <w:t xml:space="preserve">Biura Wyborczego w zakładce „Aktualności”) informacji o wadach zawiadomienia. </w:t>
      </w:r>
    </w:p>
    <w:p w:rsidR="00554C19" w:rsidRPr="00580D6C" w:rsidRDefault="002978C3">
      <w:pPr>
        <w:ind w:left="569" w:right="0"/>
        <w:rPr>
          <w:color w:val="auto"/>
        </w:rPr>
      </w:pPr>
      <w:r w:rsidRPr="00580D6C">
        <w:rPr>
          <w:color w:val="auto"/>
        </w:rPr>
        <w:t xml:space="preserve">Jeśli wady nie zostaną w terminie usunięte, komisarz wyborczy odmawia przyjęcia zawiadomienia. Postanowienie w tej sprawie, wraz z uzasadnieniem, podaje się niezwłocznie do publicznej wiadomości (na stronie internetowej Delegatury Krajowego </w:t>
      </w:r>
      <w:r w:rsidRPr="00580D6C">
        <w:rPr>
          <w:color w:val="auto"/>
        </w:rPr>
        <w:lastRenderedPageBreak/>
        <w:t xml:space="preserve">Biura Wyborczego w zakładce „Aktualności”) oraz doręcza się pełnomocnikowi wyborczemu (art. 97 § 2 Kodeksu wyborczego). </w:t>
      </w:r>
    </w:p>
    <w:p w:rsidR="00554C19" w:rsidRPr="00580D6C" w:rsidRDefault="002978C3" w:rsidP="00B767FE">
      <w:pPr>
        <w:numPr>
          <w:ilvl w:val="0"/>
          <w:numId w:val="4"/>
        </w:numPr>
        <w:ind w:right="0" w:hanging="466"/>
        <w:rPr>
          <w:color w:val="auto"/>
        </w:rPr>
      </w:pPr>
      <w:r w:rsidRPr="00580D6C">
        <w:rPr>
          <w:color w:val="auto"/>
        </w:rPr>
        <w:t xml:space="preserve">Pełnomocnikowi wyborczemu służy prawo wniesienia odwołania do Państwowej Komisji Wyborczej od postanowienia o odmowie przyjęcia zawiadomienia. Odwołanie wnosi się bezpośrednio do Państwowej Komisji Wyborczej w terminie 2 dni od daty podania do publicznej wiadomości (na stronie internetowej Delegatury Krajowego </w:t>
      </w:r>
    </w:p>
    <w:p w:rsidR="00554C19" w:rsidRPr="00580D6C" w:rsidRDefault="002978C3" w:rsidP="00B767FE">
      <w:pPr>
        <w:ind w:left="569" w:right="0"/>
        <w:rPr>
          <w:color w:val="auto"/>
        </w:rPr>
      </w:pPr>
      <w:r w:rsidRPr="00580D6C">
        <w:rPr>
          <w:color w:val="auto"/>
        </w:rPr>
        <w:t xml:space="preserve">Biura Wyborczego w zakładce „Aktualności”) postanowienia o odmowie przyjęcia zawiadomienia (art. 405 § 1 Kodeksu wyborczego). Od postanowienia Państwowej </w:t>
      </w:r>
    </w:p>
    <w:p w:rsidR="00554C19" w:rsidRPr="00580D6C" w:rsidRDefault="002978C3" w:rsidP="00B767FE">
      <w:pPr>
        <w:ind w:left="569" w:right="0"/>
        <w:rPr>
          <w:color w:val="auto"/>
        </w:rPr>
      </w:pPr>
      <w:r w:rsidRPr="00580D6C">
        <w:rPr>
          <w:color w:val="auto"/>
        </w:rPr>
        <w:t xml:space="preserve">Komisji Wyborczej nie przysługuje środek prawny (art. 405 § 2 Kodeksu wyborczego). </w:t>
      </w:r>
      <w:r w:rsidRPr="00580D6C">
        <w:rPr>
          <w:b/>
          <w:i/>
          <w:color w:val="auto"/>
        </w:rPr>
        <w:t xml:space="preserve">Uwaga! </w:t>
      </w:r>
    </w:p>
    <w:p w:rsidR="00554C19" w:rsidRPr="00580D6C" w:rsidRDefault="002978C3">
      <w:pPr>
        <w:spacing w:after="14" w:line="387" w:lineRule="auto"/>
        <w:ind w:left="577" w:right="0"/>
        <w:rPr>
          <w:color w:val="auto"/>
        </w:rPr>
      </w:pPr>
      <w:r w:rsidRPr="00580D6C">
        <w:rPr>
          <w:i/>
          <w:color w:val="auto"/>
        </w:rPr>
        <w:t xml:space="preserve">Zgodnie z art. 9 ust. 1 Kodeksu wyborczego termin wniesienia odwołania do Państwowej Komisji Wyborczej jest dotrzymany, jeżeli odwołanie zostanie złożone w siedzibie Komisji z zachowaniem terminu. O zachowaniu terminu w odniesieniu do przesyłki listowej rozstrzyga więc nie data nadania przesyłki, lecz data jej wpływu do Państwowej Komisji Wyborczej. </w:t>
      </w:r>
    </w:p>
    <w:p w:rsidR="00554C19" w:rsidRPr="00580D6C" w:rsidRDefault="002978C3">
      <w:pPr>
        <w:numPr>
          <w:ilvl w:val="0"/>
          <w:numId w:val="4"/>
        </w:numPr>
        <w:ind w:right="0" w:hanging="466"/>
        <w:rPr>
          <w:color w:val="auto"/>
        </w:rPr>
      </w:pPr>
      <w:r w:rsidRPr="00580D6C">
        <w:rPr>
          <w:b/>
          <w:color w:val="auto"/>
        </w:rPr>
        <w:t xml:space="preserve">Dopiero od dnia wydania przez komisarza wyborczego postanowienia </w:t>
      </w:r>
      <w:r w:rsidRPr="00580D6C">
        <w:rPr>
          <w:color w:val="auto"/>
        </w:rPr>
        <w:t xml:space="preserve">o przyjęciu zawiadomienia </w:t>
      </w:r>
      <w:r w:rsidRPr="00580D6C">
        <w:rPr>
          <w:b/>
          <w:color w:val="auto"/>
        </w:rPr>
        <w:t>o utworzeniu komitetu wyborczego</w:t>
      </w:r>
      <w:r w:rsidRPr="00580D6C">
        <w:rPr>
          <w:color w:val="auto"/>
        </w:rPr>
        <w:t xml:space="preserve"> komitet wyborczy wyborców </w:t>
      </w:r>
      <w:r w:rsidRPr="00580D6C">
        <w:rPr>
          <w:b/>
          <w:color w:val="auto"/>
        </w:rPr>
        <w:t>może wykonywać czynności wyborcze</w:t>
      </w:r>
      <w:r w:rsidRPr="00580D6C">
        <w:rPr>
          <w:color w:val="auto"/>
        </w:rPr>
        <w:t>, w tym podejmować działania związane ze zgłaszaniem list kandydatów na radnych i kandydata na wójta tj. np. zbierać podpisy poparcia, prowadzić agitację wyborczą, a także pozyskiwać i wydatkować środki finansowe</w:t>
      </w:r>
      <w:r w:rsidR="00212703">
        <w:rPr>
          <w:color w:val="auto"/>
        </w:rPr>
        <w:t xml:space="preserve"> </w:t>
      </w:r>
      <w:r w:rsidRPr="00580D6C">
        <w:rPr>
          <w:color w:val="auto"/>
        </w:rPr>
        <w:t xml:space="preserve">(co jest dodatkowo uwarunkowane uprzednim otwarciem rachunku bankowego).  </w:t>
      </w:r>
    </w:p>
    <w:p w:rsidR="00554C19" w:rsidRPr="00580D6C" w:rsidRDefault="002978C3">
      <w:pPr>
        <w:spacing w:after="123" w:line="259" w:lineRule="auto"/>
        <w:ind w:left="562" w:right="0"/>
        <w:jc w:val="left"/>
        <w:rPr>
          <w:color w:val="auto"/>
        </w:rPr>
      </w:pPr>
      <w:r w:rsidRPr="00580D6C">
        <w:rPr>
          <w:b/>
          <w:i/>
          <w:color w:val="auto"/>
        </w:rPr>
        <w:t xml:space="preserve">Uwaga! </w:t>
      </w:r>
    </w:p>
    <w:p w:rsidR="00554C19" w:rsidRPr="00580D6C" w:rsidRDefault="002978C3">
      <w:pPr>
        <w:spacing w:after="14" w:line="387" w:lineRule="auto"/>
        <w:ind w:left="577" w:right="0"/>
        <w:rPr>
          <w:color w:val="auto"/>
        </w:rPr>
      </w:pPr>
      <w:r w:rsidRPr="00580D6C">
        <w:rPr>
          <w:i/>
          <w:color w:val="auto"/>
        </w:rPr>
        <w:t xml:space="preserve">Środki finansowe komitetu wyborczego wyborców mogą pochodzić </w:t>
      </w:r>
      <w:r w:rsidRPr="00580D6C">
        <w:rPr>
          <w:b/>
          <w:i/>
          <w:color w:val="auto"/>
        </w:rPr>
        <w:t>wyłącznie z wpłat obywateli polskich</w:t>
      </w:r>
      <w:r w:rsidRPr="00580D6C">
        <w:rPr>
          <w:i/>
          <w:color w:val="auto"/>
        </w:rPr>
        <w:t xml:space="preserve"> mających miejsce stałego zamieszkania na terenie Rzeczypospolitej Polskiej </w:t>
      </w:r>
      <w:r w:rsidRPr="00580D6C">
        <w:rPr>
          <w:b/>
          <w:i/>
          <w:color w:val="auto"/>
        </w:rPr>
        <w:t>oraz kredytów bankowych</w:t>
      </w:r>
      <w:r w:rsidRPr="00580D6C">
        <w:rPr>
          <w:i/>
          <w:color w:val="auto"/>
        </w:rPr>
        <w:t xml:space="preserve"> zaciąganych wyłącznie na cele związane z wyborami (art. 132 § 3 pkt 2 Kodeksu wyborczego).</w:t>
      </w:r>
      <w:r w:rsidRPr="00580D6C">
        <w:rPr>
          <w:color w:val="auto"/>
        </w:rPr>
        <w:t xml:space="preserve"> </w:t>
      </w:r>
    </w:p>
    <w:p w:rsidR="00554C19" w:rsidRPr="00580D6C" w:rsidRDefault="002978C3">
      <w:pPr>
        <w:ind w:left="569" w:right="0"/>
        <w:rPr>
          <w:color w:val="auto"/>
        </w:rPr>
      </w:pPr>
      <w:r w:rsidRPr="00580D6C">
        <w:rPr>
          <w:color w:val="auto"/>
        </w:rPr>
        <w:t xml:space="preserve">Wydanie postanowienia o przyjęciu zawiadomienia stanowi także podstawę do otwarcia rachunku bankowego, dokonania wpisu do Rejestru Gospodarki Narodowej (REGON) </w:t>
      </w:r>
      <w:r w:rsidRPr="00580D6C">
        <w:rPr>
          <w:color w:val="auto"/>
        </w:rPr>
        <w:lastRenderedPageBreak/>
        <w:t xml:space="preserve">oraz nadania numeru identyfikacji podatkowej (NIP) – art. 134 § 1 Kodeksu wyborczego. </w:t>
      </w:r>
    </w:p>
    <w:p w:rsidR="00554C19" w:rsidRPr="00580D6C" w:rsidRDefault="002978C3">
      <w:pPr>
        <w:numPr>
          <w:ilvl w:val="0"/>
          <w:numId w:val="4"/>
        </w:numPr>
        <w:ind w:right="0" w:hanging="466"/>
        <w:rPr>
          <w:color w:val="auto"/>
        </w:rPr>
      </w:pPr>
      <w:r w:rsidRPr="00580D6C">
        <w:rPr>
          <w:b/>
          <w:color w:val="auto"/>
        </w:rPr>
        <w:t>Po wydaniu przez komisarza wyborczego postanowienia</w:t>
      </w:r>
      <w:r w:rsidRPr="00580D6C">
        <w:rPr>
          <w:color w:val="auto"/>
        </w:rPr>
        <w:t xml:space="preserve"> o przyjęciu zawiadomienia o utworzeniu komitetu wyborczego wyborców </w:t>
      </w:r>
      <w:r w:rsidRPr="00580D6C">
        <w:rPr>
          <w:b/>
          <w:color w:val="auto"/>
        </w:rPr>
        <w:t>nie są dopuszczalne zmiany nazwy</w:t>
      </w:r>
      <w:r w:rsidRPr="00580D6C">
        <w:rPr>
          <w:color w:val="auto"/>
        </w:rPr>
        <w:t xml:space="preserve"> komitetu wyborczego i </w:t>
      </w:r>
      <w:r w:rsidRPr="00580D6C">
        <w:rPr>
          <w:b/>
          <w:color w:val="auto"/>
        </w:rPr>
        <w:t>skrótu nazwy</w:t>
      </w:r>
      <w:r w:rsidR="00392F64">
        <w:rPr>
          <w:b/>
          <w:color w:val="auto"/>
        </w:rPr>
        <w:t xml:space="preserve"> </w:t>
      </w:r>
      <w:r w:rsidR="00392F64" w:rsidRPr="00392F64">
        <w:rPr>
          <w:color w:val="auto"/>
        </w:rPr>
        <w:t>oraz</w:t>
      </w:r>
      <w:r w:rsidRPr="00392F64">
        <w:rPr>
          <w:color w:val="auto"/>
        </w:rPr>
        <w:t xml:space="preserve"> </w:t>
      </w:r>
      <w:r w:rsidRPr="00580D6C">
        <w:rPr>
          <w:color w:val="auto"/>
        </w:rPr>
        <w:t xml:space="preserve">jego </w:t>
      </w:r>
      <w:r w:rsidRPr="00580D6C">
        <w:rPr>
          <w:b/>
          <w:color w:val="auto"/>
        </w:rPr>
        <w:t>symbolu graficznego</w:t>
      </w:r>
      <w:r w:rsidRPr="00580D6C">
        <w:rPr>
          <w:color w:val="auto"/>
        </w:rPr>
        <w:t xml:space="preserve">. Ponadto nie jest możliwe przyjmowanie nowych członków komitetu wyborczego. Natomiast w </w:t>
      </w:r>
      <w:proofErr w:type="gramStart"/>
      <w:r w:rsidRPr="00580D6C">
        <w:rPr>
          <w:color w:val="auto"/>
        </w:rPr>
        <w:t>przypadku</w:t>
      </w:r>
      <w:proofErr w:type="gramEnd"/>
      <w:r w:rsidRPr="00580D6C">
        <w:rPr>
          <w:color w:val="auto"/>
        </w:rPr>
        <w:t xml:space="preserve"> gdy liczba członków komitetu wyborczego ulegnie zmniejszeniu poniżej 5 osób, komitet wyborczy wyborców ulegnie rozwiązaniu z mocy prawa (art. 101 § 3 Kodeksu wyborczego). </w:t>
      </w:r>
    </w:p>
    <w:p w:rsidR="00554C19" w:rsidRPr="00580D6C" w:rsidRDefault="002978C3" w:rsidP="00E94844">
      <w:pPr>
        <w:spacing w:after="181" w:line="259" w:lineRule="auto"/>
        <w:ind w:left="0" w:right="0" w:firstLine="0"/>
        <w:jc w:val="left"/>
        <w:rPr>
          <w:color w:val="auto"/>
        </w:rPr>
      </w:pPr>
      <w:r w:rsidRPr="00580D6C">
        <w:rPr>
          <w:color w:val="auto"/>
        </w:rPr>
        <w:t xml:space="preserve"> </w:t>
      </w:r>
    </w:p>
    <w:p w:rsidR="00554C19" w:rsidRPr="00580D6C" w:rsidRDefault="002978C3">
      <w:pPr>
        <w:spacing w:after="253" w:line="387" w:lineRule="auto"/>
        <w:ind w:right="0"/>
        <w:rPr>
          <w:i/>
          <w:color w:val="auto"/>
        </w:rPr>
      </w:pPr>
      <w:r w:rsidRPr="00580D6C">
        <w:rPr>
          <w:i/>
          <w:color w:val="auto"/>
        </w:rPr>
        <w:t xml:space="preserve">W załącznikach </w:t>
      </w:r>
      <w:r w:rsidR="00916F1C" w:rsidRPr="00580D6C">
        <w:rPr>
          <w:i/>
          <w:color w:val="auto"/>
        </w:rPr>
        <w:t xml:space="preserve">znajdą Państwo </w:t>
      </w:r>
      <w:r w:rsidRPr="00580D6C">
        <w:rPr>
          <w:i/>
          <w:color w:val="auto"/>
        </w:rPr>
        <w:t xml:space="preserve">do wykorzystania </w:t>
      </w:r>
      <w:r w:rsidRPr="00580D6C">
        <w:rPr>
          <w:i/>
          <w:color w:val="auto"/>
          <w:u w:val="single" w:color="000000"/>
        </w:rPr>
        <w:t>pomocniczo</w:t>
      </w:r>
      <w:r w:rsidRPr="00580D6C">
        <w:rPr>
          <w:i/>
          <w:color w:val="auto"/>
        </w:rPr>
        <w:t>, wzory dokumentów związanych z zawiadomieniami dotyczącymi utworzonych komitetów wyborczych</w:t>
      </w:r>
      <w:r w:rsidR="00E94844">
        <w:rPr>
          <w:i/>
          <w:color w:val="auto"/>
        </w:rPr>
        <w:t xml:space="preserve"> wyborców.</w:t>
      </w:r>
    </w:p>
    <w:p w:rsidR="00E41BE5" w:rsidRPr="00580D6C" w:rsidRDefault="00E41BE5">
      <w:pPr>
        <w:spacing w:after="253" w:line="387" w:lineRule="auto"/>
        <w:ind w:right="0"/>
        <w:rPr>
          <w:color w:val="auto"/>
        </w:rPr>
      </w:pPr>
    </w:p>
    <w:p w:rsidR="00554C19" w:rsidRPr="00580D6C" w:rsidRDefault="00554C19" w:rsidP="00534BDA">
      <w:pPr>
        <w:spacing w:after="0" w:line="259" w:lineRule="auto"/>
        <w:ind w:left="4966" w:right="505" w:firstLine="0"/>
        <w:rPr>
          <w:color w:val="auto"/>
        </w:rPr>
      </w:pPr>
    </w:p>
    <w:sectPr w:rsidR="00554C19" w:rsidRPr="00580D6C">
      <w:headerReference w:type="even" r:id="rId7"/>
      <w:headerReference w:type="default" r:id="rId8"/>
      <w:headerReference w:type="first" r:id="rId9"/>
      <w:pgSz w:w="11906" w:h="16841"/>
      <w:pgMar w:top="866" w:right="1130" w:bottom="1149"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58" w:rsidRDefault="00FA2C58">
      <w:pPr>
        <w:spacing w:after="0" w:line="240" w:lineRule="auto"/>
      </w:pPr>
      <w:r>
        <w:separator/>
      </w:r>
    </w:p>
  </w:endnote>
  <w:endnote w:type="continuationSeparator" w:id="0">
    <w:p w:rsidR="00FA2C58" w:rsidRDefault="00FA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58" w:rsidRDefault="00FA2C58">
      <w:pPr>
        <w:spacing w:after="0" w:line="240" w:lineRule="auto"/>
      </w:pPr>
      <w:r>
        <w:separator/>
      </w:r>
    </w:p>
  </w:footnote>
  <w:footnote w:type="continuationSeparator" w:id="0">
    <w:p w:rsidR="00FA2C58" w:rsidRDefault="00FA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19" w:rsidRDefault="002978C3">
    <w:pPr>
      <w:tabs>
        <w:tab w:val="center" w:pos="4820"/>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2</w:t>
    </w:r>
    <w: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19" w:rsidRDefault="002978C3">
    <w:pPr>
      <w:tabs>
        <w:tab w:val="center" w:pos="4820"/>
      </w:tabs>
      <w:spacing w:after="0" w:line="259" w:lineRule="auto"/>
      <w:ind w:left="0" w:right="0" w:firstLine="0"/>
      <w:jc w:val="left"/>
    </w:pPr>
    <w:r>
      <w:t xml:space="preserve"> </w:t>
    </w:r>
    <w:r>
      <w:tab/>
      <w:t xml:space="preserve">- </w:t>
    </w:r>
    <w:r>
      <w:fldChar w:fldCharType="begin"/>
    </w:r>
    <w:r>
      <w:instrText xml:space="preserve"> PAGE   \* MERGEFORMAT </w:instrText>
    </w:r>
    <w:r>
      <w:fldChar w:fldCharType="separate"/>
    </w:r>
    <w:r>
      <w:t>2</w:t>
    </w:r>
    <w:r>
      <w:fldChar w:fldCharType="end"/>
    </w:r>
    <w: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19" w:rsidRDefault="00554C1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776B"/>
    <w:multiLevelType w:val="hybridMultilevel"/>
    <w:tmpl w:val="1A907C7E"/>
    <w:lvl w:ilvl="0" w:tplc="752202F4">
      <w:start w:val="1"/>
      <w:numFmt w:val="decimal"/>
      <w:lvlText w:val="%1"/>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740D720">
      <w:start w:val="1"/>
      <w:numFmt w:val="decimal"/>
      <w:lvlText w:val="%2)"/>
      <w:lvlJc w:val="left"/>
      <w:pPr>
        <w:ind w:left="127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3AE8DF8">
      <w:start w:val="1"/>
      <w:numFmt w:val="lowerRoman"/>
      <w:lvlText w:val="%3"/>
      <w:lvlJc w:val="left"/>
      <w:pPr>
        <w:ind w:left="17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C72BA6E">
      <w:start w:val="1"/>
      <w:numFmt w:val="decimal"/>
      <w:lvlText w:val="%4"/>
      <w:lvlJc w:val="left"/>
      <w:pPr>
        <w:ind w:left="24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B0848E8">
      <w:start w:val="1"/>
      <w:numFmt w:val="lowerLetter"/>
      <w:lvlText w:val="%5"/>
      <w:lvlJc w:val="left"/>
      <w:pPr>
        <w:ind w:left="321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B46F750">
      <w:start w:val="1"/>
      <w:numFmt w:val="lowerRoman"/>
      <w:lvlText w:val="%6"/>
      <w:lvlJc w:val="left"/>
      <w:pPr>
        <w:ind w:left="393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2B06DEA">
      <w:start w:val="1"/>
      <w:numFmt w:val="decimal"/>
      <w:lvlText w:val="%7"/>
      <w:lvlJc w:val="left"/>
      <w:pPr>
        <w:ind w:left="465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00024EC">
      <w:start w:val="1"/>
      <w:numFmt w:val="lowerLetter"/>
      <w:lvlText w:val="%8"/>
      <w:lvlJc w:val="left"/>
      <w:pPr>
        <w:ind w:left="53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01C4FBC">
      <w:start w:val="1"/>
      <w:numFmt w:val="lowerRoman"/>
      <w:lvlText w:val="%9"/>
      <w:lvlJc w:val="left"/>
      <w:pPr>
        <w:ind w:left="60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DD06540"/>
    <w:multiLevelType w:val="hybridMultilevel"/>
    <w:tmpl w:val="06D47636"/>
    <w:lvl w:ilvl="0" w:tplc="6308B60E">
      <w:start w:val="7"/>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403402">
      <w:start w:val="1"/>
      <w:numFmt w:val="decimal"/>
      <w:lvlText w:val="%2)"/>
      <w:lvlJc w:val="left"/>
      <w:pPr>
        <w:ind w:left="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DEE556">
      <w:start w:val="1"/>
      <w:numFmt w:val="lowerRoman"/>
      <w:lvlText w:val="%3"/>
      <w:lvlJc w:val="left"/>
      <w:pPr>
        <w:ind w:left="1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7A5E86">
      <w:start w:val="1"/>
      <w:numFmt w:val="decimal"/>
      <w:lvlText w:val="%4"/>
      <w:lvlJc w:val="left"/>
      <w:pPr>
        <w:ind w:left="2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C8940E">
      <w:start w:val="1"/>
      <w:numFmt w:val="lowerLetter"/>
      <w:lvlText w:val="%5"/>
      <w:lvlJc w:val="left"/>
      <w:pPr>
        <w:ind w:left="2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9A2D4A">
      <w:start w:val="1"/>
      <w:numFmt w:val="lowerRoman"/>
      <w:lvlText w:val="%6"/>
      <w:lvlJc w:val="left"/>
      <w:pPr>
        <w:ind w:left="3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562C7A">
      <w:start w:val="1"/>
      <w:numFmt w:val="decimal"/>
      <w:lvlText w:val="%7"/>
      <w:lvlJc w:val="left"/>
      <w:pPr>
        <w:ind w:left="4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7C833E">
      <w:start w:val="1"/>
      <w:numFmt w:val="lowerLetter"/>
      <w:lvlText w:val="%8"/>
      <w:lvlJc w:val="left"/>
      <w:pPr>
        <w:ind w:left="5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7CE682">
      <w:start w:val="1"/>
      <w:numFmt w:val="lowerRoman"/>
      <w:lvlText w:val="%9"/>
      <w:lvlJc w:val="left"/>
      <w:pPr>
        <w:ind w:left="5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BD4891"/>
    <w:multiLevelType w:val="hybridMultilevel"/>
    <w:tmpl w:val="6BB09884"/>
    <w:lvl w:ilvl="0" w:tplc="7C540B6C">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964350">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281A8">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CC0618">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785FEC">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3A5910">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A23F70">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4C464">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6C3538">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061D67"/>
    <w:multiLevelType w:val="hybridMultilevel"/>
    <w:tmpl w:val="76368EA8"/>
    <w:lvl w:ilvl="0" w:tplc="396653CC">
      <w:start w:val="1"/>
      <w:numFmt w:val="decimal"/>
      <w:lvlText w:val="%1"/>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7DEF6DA">
      <w:start w:val="1"/>
      <w:numFmt w:val="decimal"/>
      <w:lvlText w:val="%2)"/>
      <w:lvlJc w:val="left"/>
      <w:pPr>
        <w:ind w:left="127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2028ACC">
      <w:start w:val="1"/>
      <w:numFmt w:val="lowerRoman"/>
      <w:lvlText w:val="%3"/>
      <w:lvlJc w:val="left"/>
      <w:pPr>
        <w:ind w:left="17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3D6CD8B0">
      <w:start w:val="1"/>
      <w:numFmt w:val="decimal"/>
      <w:lvlText w:val="%4"/>
      <w:lvlJc w:val="left"/>
      <w:pPr>
        <w:ind w:left="24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0467FE8">
      <w:start w:val="1"/>
      <w:numFmt w:val="lowerLetter"/>
      <w:lvlText w:val="%5"/>
      <w:lvlJc w:val="left"/>
      <w:pPr>
        <w:ind w:left="321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E841840">
      <w:start w:val="1"/>
      <w:numFmt w:val="lowerRoman"/>
      <w:lvlText w:val="%6"/>
      <w:lvlJc w:val="left"/>
      <w:pPr>
        <w:ind w:left="393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570D39A">
      <w:start w:val="1"/>
      <w:numFmt w:val="decimal"/>
      <w:lvlText w:val="%7"/>
      <w:lvlJc w:val="left"/>
      <w:pPr>
        <w:ind w:left="465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D74D4B6">
      <w:start w:val="1"/>
      <w:numFmt w:val="lowerLetter"/>
      <w:lvlText w:val="%8"/>
      <w:lvlJc w:val="left"/>
      <w:pPr>
        <w:ind w:left="53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83E53B2">
      <w:start w:val="1"/>
      <w:numFmt w:val="lowerRoman"/>
      <w:lvlText w:val="%9"/>
      <w:lvlJc w:val="left"/>
      <w:pPr>
        <w:ind w:left="60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19"/>
    <w:rsid w:val="000463AF"/>
    <w:rsid w:val="00212703"/>
    <w:rsid w:val="002665D8"/>
    <w:rsid w:val="002736DF"/>
    <w:rsid w:val="0028690E"/>
    <w:rsid w:val="002978C3"/>
    <w:rsid w:val="002E0F04"/>
    <w:rsid w:val="00331F55"/>
    <w:rsid w:val="00392F64"/>
    <w:rsid w:val="00534BDA"/>
    <w:rsid w:val="00554C19"/>
    <w:rsid w:val="00580D6C"/>
    <w:rsid w:val="00587CAD"/>
    <w:rsid w:val="005B34DC"/>
    <w:rsid w:val="00604105"/>
    <w:rsid w:val="00614AC1"/>
    <w:rsid w:val="00631EC3"/>
    <w:rsid w:val="00815769"/>
    <w:rsid w:val="00822EF6"/>
    <w:rsid w:val="00847A34"/>
    <w:rsid w:val="00916F1C"/>
    <w:rsid w:val="00955F0A"/>
    <w:rsid w:val="009D104C"/>
    <w:rsid w:val="009D3B6F"/>
    <w:rsid w:val="00AB64D1"/>
    <w:rsid w:val="00AC24E9"/>
    <w:rsid w:val="00B10A75"/>
    <w:rsid w:val="00B767FE"/>
    <w:rsid w:val="00BE03A9"/>
    <w:rsid w:val="00C63997"/>
    <w:rsid w:val="00D71DA3"/>
    <w:rsid w:val="00DD692D"/>
    <w:rsid w:val="00E41BE5"/>
    <w:rsid w:val="00E574BF"/>
    <w:rsid w:val="00E94844"/>
    <w:rsid w:val="00EA0819"/>
    <w:rsid w:val="00EC3990"/>
    <w:rsid w:val="00F50E25"/>
    <w:rsid w:val="00F7454C"/>
    <w:rsid w:val="00FA2C58"/>
    <w:rsid w:val="00FC2832"/>
    <w:rsid w:val="00FD02DA"/>
    <w:rsid w:val="00FE1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59DBC-C202-46C9-B266-89DE21FF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385" w:lineRule="auto"/>
      <w:ind w:left="10" w:right="382" w:hanging="10"/>
      <w:jc w:val="both"/>
    </w:pPr>
    <w:rPr>
      <w:rFonts w:ascii="Times New Roman" w:eastAsia="Times New Roman" w:hAnsi="Times New Roman" w:cs="Times New Roman"/>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39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399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10570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Szablon - Państwowa Komisja Wyborcza</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Państwowa Komisja Wyborcza</dc:title>
  <dc:subject/>
  <dc:creator>Krzysztof Lorentz</dc:creator>
  <cp:keywords/>
  <cp:lastModifiedBy>Wojciech Kalinowski</cp:lastModifiedBy>
  <cp:revision>3</cp:revision>
  <cp:lastPrinted>2025-01-03T09:41:00Z</cp:lastPrinted>
  <dcterms:created xsi:type="dcterms:W3CDTF">2025-01-03T13:37:00Z</dcterms:created>
  <dcterms:modified xsi:type="dcterms:W3CDTF">2025-01-03T13:59:00Z</dcterms:modified>
</cp:coreProperties>
</file>